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E1" w:rsidRDefault="00DF4335">
      <w:pPr>
        <w:pStyle w:val="Balk2"/>
        <w:jc w:val="center"/>
        <w:rPr>
          <w:rFonts w:ascii="Times" w:hAnsi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hAnsi="Times"/>
          <w:color w:val="000000"/>
          <w:sz w:val="24"/>
          <w:szCs w:val="24"/>
        </w:rPr>
        <w:t>LİSE</w:t>
      </w:r>
      <w:r>
        <w:rPr>
          <w:rFonts w:ascii="Times" w:hAnsi="Times"/>
          <w:color w:val="000000"/>
          <w:sz w:val="24"/>
          <w:szCs w:val="24"/>
        </w:rPr>
        <w:t xml:space="preserve"> ÖĞRENCİLERİ ARASINDA ŞİİR YAZMA YARIŞMASINA YÖNELİK GENEL USUL VE ESASLAR HAKKINDA BİLGİ NOTU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Yarışmanın temel amacı gençlerle iletişim kurmak ve onların zihinlerinde </w:t>
      </w:r>
      <w:r>
        <w:rPr>
          <w:rFonts w:ascii="Times" w:hAnsi="Times"/>
          <w:b/>
          <w:bCs/>
          <w:sz w:val="24"/>
        </w:rPr>
        <w:t>“Çanakkale Ruhu”</w:t>
      </w:r>
      <w:r>
        <w:rPr>
          <w:rFonts w:ascii="Times" w:hAnsi="Times"/>
          <w:sz w:val="24"/>
        </w:rPr>
        <w:t xml:space="preserve">nun oluşmasına katkı sunmaktır. </w:t>
      </w:r>
      <w:r>
        <w:rPr>
          <w:rFonts w:ascii="Times" w:hAnsi="Times"/>
          <w:sz w:val="24"/>
        </w:rPr>
        <w:t xml:space="preserve">Bundan dolayı yarışmanın her aşamasında </w:t>
      </w:r>
      <w:r>
        <w:rPr>
          <w:rFonts w:ascii="Times" w:hAnsi="Times"/>
          <w:sz w:val="24"/>
        </w:rPr>
        <w:t>gençlik koordinatörleri, öğrenci yurtlarında görevli manevi danışmanlar, gençlik çalışmalarında görev alan diğer personel ile okul çevresinde görev yapan din görevlileri aktif olarak yer alacaklardır.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Yarışmaya sadece </w:t>
      </w:r>
      <w:r>
        <w:rPr>
          <w:rFonts w:ascii="Times" w:hAnsi="Times"/>
          <w:b/>
          <w:bCs/>
          <w:sz w:val="24"/>
        </w:rPr>
        <w:t xml:space="preserve">lise öğrencileri </w:t>
      </w:r>
      <w:r>
        <w:rPr>
          <w:rFonts w:ascii="Times" w:hAnsi="Times"/>
          <w:sz w:val="24"/>
        </w:rPr>
        <w:t xml:space="preserve">katılabileceklerdir. </w:t>
      </w:r>
      <w:r>
        <w:rPr>
          <w:rFonts w:ascii="Times" w:hAnsi="Times"/>
          <w:sz w:val="24"/>
        </w:rPr>
        <w:t>Bir öğrenci en fazla bir eser ile katılım sağlayabilecektir.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Son başvuru tarihi</w:t>
      </w:r>
      <w:r>
        <w:rPr>
          <w:rFonts w:ascii="Times" w:hAnsi="Times"/>
          <w:b/>
          <w:bCs/>
          <w:sz w:val="24"/>
        </w:rPr>
        <w:t xml:space="preserve"> 11 Mart 2022 </w:t>
      </w:r>
      <w:r>
        <w:rPr>
          <w:rFonts w:ascii="Times" w:hAnsi="Times"/>
          <w:sz w:val="24"/>
        </w:rPr>
        <w:t>olarak belirlenmiştir.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Başvurular, öğrenim görülen okulun bulunduğu ilçe müftülüklerine (büyükşehir statüsünde olmayan illerin merkezlerinde öğrenim gören öğrenci</w:t>
      </w:r>
      <w:r>
        <w:rPr>
          <w:rFonts w:ascii="Times" w:hAnsi="Times"/>
          <w:sz w:val="24"/>
        </w:rPr>
        <w:t>ler ise il müftülüklerine) yapılacaktır. Bununla birlikte müftülükler, katılım sürecinde öğrencilere kolaylık sağlanabilmesi adına ilçe milli eğitim müdürlükleri ve okul yönetimleri ile görüşerek başvuru işlemlerinin müftülükler adına okul idaresi tarafınd</w:t>
      </w:r>
      <w:r>
        <w:rPr>
          <w:rFonts w:ascii="Times" w:hAnsi="Times"/>
          <w:sz w:val="24"/>
        </w:rPr>
        <w:t>an alınmasını sağlayabileceklerdir.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Başvurular bireysel olarak, eser teslimi ve başvuru aynı anda olacak şekilde gerçekleştirilecektir.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Yarışmacılar, başvuru ve eser teslimi esnasında öğrenci olduklarını belirten belgeyi yanlarında bulunduracaklardır.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</w:t>
      </w:r>
      <w:r>
        <w:rPr>
          <w:rFonts w:ascii="Times" w:hAnsi="Times"/>
          <w:sz w:val="24"/>
        </w:rPr>
        <w:t>rışmalar ilçe bazında yapılacak olup ilçe müftülüklerinde (büyükşehir statüsünde olmayan illerin merkezlerinde il müftülüklerinde) oluşturulacak komisyon tarafından birinci, ikinci ve üçüncü olarak dereceye girenlerin tespit edilmesiyle icra edilecektir.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Ödüle layık görülerek </w:t>
      </w:r>
      <w:r>
        <w:rPr>
          <w:rFonts w:ascii="Times" w:hAnsi="Times"/>
          <w:sz w:val="24"/>
        </w:rPr>
        <w:t xml:space="preserve">dereceye giren öğrencilere </w:t>
      </w:r>
      <w:r>
        <w:rPr>
          <w:rFonts w:ascii="Times" w:hAnsi="Times"/>
          <w:sz w:val="24"/>
        </w:rPr>
        <w:t xml:space="preserve">müftülüklerce </w:t>
      </w:r>
      <w:r>
        <w:rPr>
          <w:rFonts w:ascii="Times" w:hAnsi="Times"/>
          <w:sz w:val="24"/>
        </w:rPr>
        <w:t xml:space="preserve">verilecek </w:t>
      </w:r>
      <w:r>
        <w:rPr>
          <w:rFonts w:ascii="Times" w:hAnsi="Times"/>
          <w:sz w:val="24"/>
        </w:rPr>
        <w:t>ödüller; b</w:t>
      </w:r>
      <w:r>
        <w:rPr>
          <w:rFonts w:ascii="Times" w:hAnsi="Times"/>
          <w:sz w:val="24"/>
        </w:rPr>
        <w:t>irinciye 500 TL, ikinciye 300 TL, üçüncüye 200 TL şeklinde olacaktır.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Yarışma için valilik/kaymakamlık oluru ile bir değerlendirme komisyonu oluşturulacaktır.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b/>
          <w:bCs/>
          <w:sz w:val="24"/>
        </w:rPr>
        <w:t>Değerlendirme</w:t>
      </w:r>
      <w:r>
        <w:rPr>
          <w:rFonts w:ascii="Times" w:hAnsi="Times"/>
          <w:b/>
          <w:bCs/>
          <w:sz w:val="24"/>
        </w:rPr>
        <w:t xml:space="preserve"> Komisyonunda; </w:t>
      </w:r>
      <w:r>
        <w:rPr>
          <w:rFonts w:ascii="Times" w:hAnsi="Times"/>
          <w:sz w:val="24"/>
        </w:rPr>
        <w:t xml:space="preserve">müftü/müftü yardımcısı, </w:t>
      </w:r>
      <w:r>
        <w:rPr>
          <w:rFonts w:ascii="Times" w:hAnsi="Times"/>
          <w:sz w:val="24"/>
        </w:rPr>
        <w:t xml:space="preserve">milli eğitim müdürlüğünden edebiyat alanında uzman bir personel, din hizmetlerinden sorumlu personel ve gençlik koordinatörü (yoksa müftülükçe belirlenecek bir personel) olmak üzere toplam </w:t>
      </w:r>
      <w:r>
        <w:rPr>
          <w:rFonts w:ascii="Times" w:hAnsi="Times"/>
          <w:b/>
          <w:bCs/>
          <w:sz w:val="24"/>
        </w:rPr>
        <w:t xml:space="preserve">dört (4) </w:t>
      </w:r>
      <w:r>
        <w:rPr>
          <w:rFonts w:ascii="Times" w:hAnsi="Times"/>
          <w:sz w:val="24"/>
        </w:rPr>
        <w:t>kişi y</w:t>
      </w:r>
      <w:r>
        <w:rPr>
          <w:rFonts w:ascii="Times" w:hAnsi="Times"/>
          <w:sz w:val="24"/>
        </w:rPr>
        <w:t>er alacaktır.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Yarışmanın tanıtım ve duyurusu sosyal medya yoluyla ve il müftü yardımcıları, ilçe müftüleri, vaizler, gençlik koordinatörleri ve din görevlileri tarafından okullar bizzat ziyaret edilerek gerçekleştirilecektir. Gerekli görüşmeler yapılarak okullarda bro</w:t>
      </w:r>
      <w:r>
        <w:rPr>
          <w:rFonts w:ascii="Times" w:hAnsi="Times"/>
          <w:sz w:val="24"/>
        </w:rPr>
        <w:t>şür ve diğer tanıtıcı materyaller kullanılacaktır. Ayrıca konu vaazlarda da dile getirilecektir. Din görevlileri, görevli oldukları cami/Kur’an kursuna en yakın okullardan yüksek katılım sağlamaya yönelik çalışmalara teşvik edileceklerdir.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Yarışma sonunda</w:t>
      </w:r>
      <w:r>
        <w:rPr>
          <w:rFonts w:ascii="Times" w:hAnsi="Times"/>
          <w:sz w:val="24"/>
        </w:rPr>
        <w:t xml:space="preserve"> başarılı olan eserler, müftülüklerin web sayfasında ve sosyal medya hesaplarında duyurulacak ve gösterilecektir. Bu hesaplardan indirilerek başka internet sitelerinde veya sosyal medya hesaplarında gösterilen eserler için Diyanet İşleri Başkanlığınca herh</w:t>
      </w:r>
      <w:r>
        <w:rPr>
          <w:rFonts w:ascii="Times" w:hAnsi="Times"/>
          <w:sz w:val="24"/>
        </w:rPr>
        <w:t>angi bir ücret ödenmesi söz konusu olmayacaktır.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Müftülükler</w:t>
      </w:r>
      <w:r>
        <w:rPr>
          <w:rFonts w:ascii="Times" w:hAnsi="Times"/>
          <w:b/>
          <w:bCs/>
          <w:sz w:val="24"/>
        </w:rPr>
        <w:t xml:space="preserve"> 15 Mart 2022 Salı günü mesai bitimine kadar</w:t>
      </w:r>
      <w:r>
        <w:rPr>
          <w:rFonts w:ascii="Times" w:hAnsi="Times"/>
          <w:sz w:val="24"/>
        </w:rPr>
        <w:t xml:space="preserve"> yarışmayı sonuçlandırıp dereceye girenleri internet siteleri üzerinden ilan edeceklerdir.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İl müftülükleri, yarışmaya dair bilgileri ilçe bazlı ve kız </w:t>
      </w:r>
      <w:r>
        <w:rPr>
          <w:rFonts w:ascii="Times" w:hAnsi="Times"/>
          <w:sz w:val="24"/>
        </w:rPr>
        <w:t xml:space="preserve">erkek ayrı olarak </w:t>
      </w:r>
      <w:r>
        <w:rPr>
          <w:rFonts w:ascii="Times" w:hAnsi="Times"/>
          <w:sz w:val="24"/>
        </w:rPr>
        <w:t xml:space="preserve">toplam katılımcı sayısını ve ödüle layık görülen eser sayısını bildirecek şekilde excel/hesap tablosu formatında </w:t>
      </w:r>
      <w:r>
        <w:rPr>
          <w:rFonts w:ascii="Times" w:hAnsi="Times"/>
          <w:b/>
          <w:bCs/>
          <w:sz w:val="24"/>
        </w:rPr>
        <w:t>21 Mart 2022 Pazartesi günü mesai bitimine kadar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Başkanlığa resmi yazıyla göndereceklerdir.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Yarışmaya katılacak </w:t>
      </w:r>
      <w:r>
        <w:rPr>
          <w:rFonts w:ascii="Times" w:hAnsi="Times"/>
          <w:b/>
          <w:bCs/>
          <w:sz w:val="24"/>
        </w:rPr>
        <w:t>şiirler</w:t>
      </w:r>
      <w:r>
        <w:rPr>
          <w:rFonts w:ascii="Times" w:hAnsi="Times"/>
          <w:sz w:val="24"/>
        </w:rPr>
        <w:t xml:space="preserve"> A4 (2</w:t>
      </w:r>
      <w:r>
        <w:rPr>
          <w:rFonts w:ascii="Times" w:hAnsi="Times"/>
          <w:sz w:val="24"/>
        </w:rPr>
        <w:t>1 cm x 29,7 cm) boyutundaki düz beyaz kâğıda; yazım kurallarına uygun, okunaklı bir el yazısıyla veya bilgisayarla Times New Roman yazı karakterinde, 12 punto büyüklüğünde ve iki (2) sayfayı geçmeyecek şekilde yazılmış olacaktır.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Eserlerin özgünlüğü konus</w:t>
      </w:r>
      <w:r>
        <w:rPr>
          <w:rFonts w:ascii="Times" w:hAnsi="Times"/>
          <w:sz w:val="24"/>
        </w:rPr>
        <w:t>unda hassasiyet gösterilmeli, intihale müsaade edilmemeli; eserde siyasi mesajlar bulunmamalı, ahlak kurallarına uygun olmalı ve bir ticari markanın reklamı yapılmamalıdır.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Yarışmaya katılan eserler iade edilmeyecek, müftülüklerce bir yıl muhafaza edilece</w:t>
      </w:r>
      <w:r>
        <w:rPr>
          <w:rFonts w:ascii="Times" w:hAnsi="Times"/>
          <w:sz w:val="24"/>
        </w:rPr>
        <w:t>ktir.</w:t>
      </w:r>
    </w:p>
    <w:p w:rsidR="005B76E1" w:rsidRDefault="00DF4335">
      <w:pPr>
        <w:pStyle w:val="Standard"/>
        <w:numPr>
          <w:ilvl w:val="0"/>
          <w:numId w:val="1"/>
        </w:num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Değerlendirme komisyonu aşağıdaki kriterlere göre puanlama yapacaktır:</w:t>
      </w:r>
    </w:p>
    <w:p w:rsidR="005B76E1" w:rsidRDefault="005B76E1">
      <w:pPr>
        <w:pStyle w:val="Standard"/>
        <w:jc w:val="both"/>
        <w:rPr>
          <w:rFonts w:ascii="Times" w:hAnsi="Times"/>
          <w:sz w:val="24"/>
        </w:rPr>
      </w:pPr>
    </w:p>
    <w:tbl>
      <w:tblPr>
        <w:tblW w:w="810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5197"/>
        <w:gridCol w:w="2342"/>
      </w:tblGrid>
      <w:tr w:rsidR="005B76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  <w:t>Duygu ve düşünceyi ifade edebilme gücü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25</w:t>
            </w: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 xml:space="preserve"> Puan</w:t>
            </w:r>
          </w:p>
        </w:tc>
      </w:tr>
      <w:tr w:rsidR="005B76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  <w:t>Kullandığı dilin akıcılığı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25 Puan</w:t>
            </w:r>
          </w:p>
        </w:tc>
      </w:tr>
      <w:tr w:rsidR="005B76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  <w:t>Özgünlük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25 Puan</w:t>
            </w:r>
          </w:p>
        </w:tc>
      </w:tr>
      <w:tr w:rsidR="005B76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 w:bidi="ar-SA"/>
              </w:rPr>
              <w:t>Türkçe dil bilgisi kurallarına uygunluk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E1" w:rsidRDefault="00DF4335">
            <w:pPr>
              <w:pStyle w:val="Standard"/>
              <w:jc w:val="both"/>
              <w:rPr>
                <w:rFonts w:ascii="Times" w:eastAsia="Calibri" w:hAnsi="Times"/>
                <w:kern w:val="0"/>
                <w:sz w:val="24"/>
                <w:lang w:eastAsia="en-US" w:bidi="ar-SA"/>
              </w:rPr>
            </w:pPr>
            <w:r>
              <w:rPr>
                <w:rFonts w:ascii="Times" w:eastAsia="Calibri" w:hAnsi="Times"/>
                <w:kern w:val="0"/>
                <w:sz w:val="24"/>
                <w:lang w:eastAsia="en-US" w:bidi="ar-SA"/>
              </w:rPr>
              <w:t>25 Puan</w:t>
            </w:r>
          </w:p>
        </w:tc>
      </w:tr>
    </w:tbl>
    <w:p w:rsidR="005B76E1" w:rsidRDefault="005B76E1">
      <w:pPr>
        <w:pStyle w:val="Standard"/>
        <w:jc w:val="both"/>
        <w:rPr>
          <w:rFonts w:ascii="Times" w:hAnsi="Times"/>
          <w:sz w:val="24"/>
        </w:rPr>
      </w:pPr>
    </w:p>
    <w:p w:rsidR="005B76E1" w:rsidRDefault="00DF4335">
      <w:pPr>
        <w:pStyle w:val="Standard"/>
        <w:jc w:val="right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bCs/>
          <w:sz w:val="24"/>
        </w:rPr>
        <w:t>Din Hizmetleri Genel Müdürlüğü</w:t>
      </w:r>
    </w:p>
    <w:p w:rsidR="005B76E1" w:rsidRDefault="005B76E1">
      <w:pPr>
        <w:pStyle w:val="Standard"/>
        <w:jc w:val="both"/>
      </w:pPr>
    </w:p>
    <w:p w:rsidR="005B76E1" w:rsidRDefault="005B76E1">
      <w:pPr>
        <w:pStyle w:val="Standard"/>
        <w:jc w:val="both"/>
        <w:rPr>
          <w:rFonts w:ascii="Times" w:hAnsi="Times"/>
          <w:b/>
          <w:bCs/>
          <w:color w:val="000000"/>
          <w:sz w:val="24"/>
        </w:rPr>
      </w:pPr>
    </w:p>
    <w:sectPr w:rsidR="005B76E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35" w:rsidRDefault="00DF4335">
      <w:r>
        <w:separator/>
      </w:r>
    </w:p>
  </w:endnote>
  <w:endnote w:type="continuationSeparator" w:id="0">
    <w:p w:rsidR="00DF4335" w:rsidRDefault="00D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Liberation Mono">
    <w:charset w:val="00"/>
    <w:family w:val="modern"/>
    <w:pitch w:val="fixed"/>
  </w:font>
  <w:font w:name="OpenSymbol">
    <w:charset w:val="02"/>
    <w:family w:val="auto"/>
    <w:pitch w:val="default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35" w:rsidRDefault="00DF4335">
      <w:r>
        <w:rPr>
          <w:color w:val="000000"/>
        </w:rPr>
        <w:separator/>
      </w:r>
    </w:p>
  </w:footnote>
  <w:footnote w:type="continuationSeparator" w:id="0">
    <w:p w:rsidR="00DF4335" w:rsidRDefault="00DF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600CE"/>
    <w:multiLevelType w:val="multilevel"/>
    <w:tmpl w:val="30AC9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B76E1"/>
    <w:rsid w:val="00482D1C"/>
    <w:rsid w:val="005B76E1"/>
    <w:rsid w:val="00D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00CF2-4E10-408B-A814-41440C7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basedOn w:val="VarsaylanParagrafYazTipi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config/libreoffice/4/user/template/DiyanetArialwriter.ot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DiyanetArialwriter.ott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DiyanetArialwriter</vt:lpstr>
    </vt:vector>
  </TitlesOfParts>
  <Company>SilentAll Team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creator>Mustafa Özdemir</dc:creator>
  <cp:lastModifiedBy>Mustafa Özdemir</cp:lastModifiedBy>
  <cp:revision>2</cp:revision>
  <cp:lastPrinted>2022-02-14T14:33:00Z</cp:lastPrinted>
  <dcterms:created xsi:type="dcterms:W3CDTF">2022-02-25T05:56:00Z</dcterms:created>
  <dcterms:modified xsi:type="dcterms:W3CDTF">2022-02-25T05:56:00Z</dcterms:modified>
</cp:coreProperties>
</file>